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1862" w14:textId="7BE75C7B" w:rsidR="00A440C8" w:rsidRPr="00C77AF5" w:rsidRDefault="00A440C8" w:rsidP="00F63EF3">
      <w:pPr>
        <w:bidi/>
        <w:rPr>
          <w:rtl/>
          <w:lang w:bidi="he-IL"/>
        </w:rPr>
      </w:pPr>
    </w:p>
    <w:p w14:paraId="25FB64C3" w14:textId="77777777" w:rsidR="00A440C8" w:rsidRPr="00C77AF5" w:rsidRDefault="00A440C8" w:rsidP="00F63EF3">
      <w:pPr>
        <w:bidi/>
        <w:rPr>
          <w:rtl/>
          <w:lang w:bidi="he-IL"/>
        </w:rPr>
      </w:pPr>
    </w:p>
    <w:p w14:paraId="2C11FA21" w14:textId="77777777" w:rsidR="00F63EF3" w:rsidRPr="00B05E01" w:rsidRDefault="00F63EF3" w:rsidP="00F63EF3">
      <w:pPr>
        <w:bidi/>
        <w:spacing w:line="360" w:lineRule="auto"/>
        <w:contextualSpacing/>
        <w:jc w:val="center"/>
        <w:rPr>
          <w:rFonts w:cs="David"/>
          <w:b/>
          <w:bCs/>
          <w:sz w:val="28"/>
          <w:szCs w:val="28"/>
          <w:rtl/>
        </w:rPr>
      </w:pPr>
      <w:r w:rsidRPr="00B05E01"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Pr="00B05E0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המשפט והמרחב </w:t>
      </w:r>
      <w:proofErr w:type="spellStart"/>
      <w:r w:rsidRPr="00B05E01">
        <w:rPr>
          <w:rFonts w:ascii="David" w:hAnsi="David" w:cs="David" w:hint="cs"/>
          <w:b/>
          <w:bCs/>
          <w:sz w:val="28"/>
          <w:szCs w:val="28"/>
          <w:rtl/>
          <w:lang w:bidi="he-IL"/>
        </w:rPr>
        <w:t>הקיברנטי</w:t>
      </w:r>
      <w:proofErr w:type="spellEnd"/>
      <w:r w:rsidRPr="00B05E01">
        <w:rPr>
          <w:rFonts w:cs="David" w:hint="cs"/>
          <w:b/>
          <w:bCs/>
          <w:sz w:val="28"/>
          <w:szCs w:val="28"/>
          <w:rtl/>
        </w:rPr>
        <w:t>"</w:t>
      </w:r>
    </w:p>
    <w:p w14:paraId="48B58ADF" w14:textId="77777777" w:rsidR="00F63EF3" w:rsidRPr="00B05E01" w:rsidRDefault="00F63EF3" w:rsidP="00F63EF3">
      <w:pPr>
        <w:bidi/>
        <w:spacing w:line="360" w:lineRule="auto"/>
        <w:contextualSpacing/>
        <w:jc w:val="center"/>
        <w:rPr>
          <w:rFonts w:cs="David"/>
          <w:b/>
          <w:bCs/>
          <w:sz w:val="28"/>
          <w:szCs w:val="28"/>
          <w:rtl/>
        </w:rPr>
      </w:pPr>
      <w:r w:rsidRPr="00B05E01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קול קורא </w:t>
      </w:r>
      <w:r w:rsidRPr="00B05E0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למאמרים </w:t>
      </w:r>
      <w:r w:rsidRPr="00B05E01">
        <w:rPr>
          <w:rFonts w:cs="David" w:hint="cs"/>
          <w:b/>
          <w:bCs/>
          <w:sz w:val="28"/>
          <w:szCs w:val="28"/>
          <w:rtl/>
          <w:lang w:bidi="he-IL"/>
        </w:rPr>
        <w:t xml:space="preserve">ולמענקי סיוע למחקר </w:t>
      </w:r>
    </w:p>
    <w:p w14:paraId="779D6067" w14:textId="77777777" w:rsidR="00F63EF3" w:rsidRPr="00DA5ECA" w:rsidRDefault="00F63EF3" w:rsidP="00F63EF3">
      <w:pPr>
        <w:bidi/>
        <w:spacing w:before="120" w:after="120" w:line="360" w:lineRule="auto"/>
        <w:jc w:val="both"/>
        <w:rPr>
          <w:rFonts w:ascii="David" w:hAnsi="David" w:cs="David"/>
          <w:szCs w:val="24"/>
          <w:rtl/>
        </w:rPr>
      </w:pPr>
    </w:p>
    <w:p w14:paraId="5429BE42" w14:textId="59E1C7A3" w:rsidR="00484563" w:rsidRPr="00DA5ECA" w:rsidRDefault="00DA5ECA" w:rsidP="00DA5ECA">
      <w:pPr>
        <w:bidi/>
        <w:spacing w:before="120" w:after="120" w:line="360" w:lineRule="auto"/>
        <w:jc w:val="both"/>
        <w:rPr>
          <w:rFonts w:ascii="David" w:hAnsi="David" w:cs="David"/>
          <w:szCs w:val="24"/>
          <w:rtl/>
        </w:rPr>
      </w:pPr>
      <w:proofErr w:type="spellStart"/>
      <w:r w:rsidRPr="00DA5ECA">
        <w:rPr>
          <w:rFonts w:ascii="David" w:hAnsi="David" w:cs="David"/>
          <w:szCs w:val="24"/>
          <w:rtl/>
        </w:rPr>
        <w:t>מכון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סאקר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למחקרי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חקיקה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ולמחקר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proofErr w:type="gramStart"/>
      <w:r w:rsidRPr="00DA5ECA">
        <w:rPr>
          <w:rFonts w:ascii="David" w:hAnsi="David" w:cs="David"/>
          <w:szCs w:val="24"/>
          <w:rtl/>
        </w:rPr>
        <w:t>השוואתי</w:t>
      </w:r>
      <w:proofErr w:type="spellEnd"/>
      <w:r w:rsidRPr="00DA5ECA">
        <w:rPr>
          <w:rFonts w:ascii="David" w:hAnsi="David" w:cs="David"/>
          <w:szCs w:val="24"/>
          <w:rtl/>
        </w:rPr>
        <w:t>,</w:t>
      </w:r>
      <w:proofErr w:type="gramEnd"/>
      <w:r w:rsidRPr="00DA5ECA">
        <w:rPr>
          <w:rFonts w:ascii="David" w:hAnsi="David" w:cs="David"/>
          <w:szCs w:val="24"/>
          <w:rtl/>
        </w:rPr>
        <w:t xml:space="preserve"> ״</w:t>
      </w:r>
      <w:proofErr w:type="spellStart"/>
      <w:r w:rsidRPr="00DA5ECA">
        <w:rPr>
          <w:rFonts w:ascii="David" w:hAnsi="David" w:cs="David"/>
          <w:szCs w:val="24"/>
          <w:rtl/>
        </w:rPr>
        <w:t>חוקים</w:t>
      </w:r>
      <w:proofErr w:type="spellEnd"/>
      <w:r w:rsidRPr="00DA5ECA">
        <w:rPr>
          <w:rFonts w:ascii="David" w:hAnsi="David" w:cs="David"/>
          <w:szCs w:val="24"/>
          <w:rtl/>
        </w:rPr>
        <w:t xml:space="preserve">״ </w:t>
      </w:r>
      <w:proofErr w:type="spellStart"/>
      <w:r w:rsidRPr="00DA5ECA">
        <w:rPr>
          <w:rFonts w:ascii="David" w:hAnsi="David" w:cs="David"/>
          <w:szCs w:val="24"/>
          <w:rtl/>
        </w:rPr>
        <w:t>כתב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עת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של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הפקולטה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למשפטים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באוניברסיטה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העברית</w:t>
      </w:r>
      <w:proofErr w:type="spellEnd"/>
      <w:r w:rsidRPr="00DA5ECA">
        <w:rPr>
          <w:rFonts w:ascii="David" w:hAnsi="David" w:cs="David"/>
          <w:szCs w:val="24"/>
          <w:rtl/>
        </w:rPr>
        <w:t xml:space="preserve">, </w:t>
      </w:r>
      <w:proofErr w:type="spellStart"/>
      <w:r w:rsidRPr="00DA5ECA">
        <w:rPr>
          <w:rFonts w:ascii="David" w:hAnsi="David" w:cs="David"/>
          <w:szCs w:val="24"/>
          <w:rtl/>
        </w:rPr>
        <w:t>ופרוייקט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משפט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וסייבר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במרכז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המחקר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הבינלאומי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להגנת</w:t>
      </w:r>
      <w:proofErr w:type="spellEnd"/>
      <w:r w:rsidRPr="00DA5ECA">
        <w:rPr>
          <w:rFonts w:ascii="David" w:hAnsi="David" w:cs="David"/>
          <w:szCs w:val="24"/>
          <w:rtl/>
        </w:rPr>
        <w:t xml:space="preserve"> </w:t>
      </w:r>
      <w:proofErr w:type="spellStart"/>
      <w:r w:rsidRPr="00DA5ECA">
        <w:rPr>
          <w:rFonts w:ascii="David" w:hAnsi="David" w:cs="David"/>
          <w:szCs w:val="24"/>
          <w:rtl/>
        </w:rPr>
        <w:t>סייבר</w:t>
      </w:r>
      <w:proofErr w:type="spellEnd"/>
      <w:r w:rsidRPr="00DA5ECA">
        <w:rPr>
          <w:rFonts w:ascii="David" w:hAnsi="David" w:cs="David"/>
          <w:szCs w:val="24"/>
          <w:rtl/>
        </w:rPr>
        <w:t xml:space="preserve">, </w:t>
      </w:r>
      <w:r w:rsidR="00F63EF3" w:rsidRPr="00DA5ECA">
        <w:rPr>
          <w:rFonts w:ascii="David" w:hAnsi="David" w:cs="David"/>
          <w:noProof/>
          <w:szCs w:val="24"/>
          <w:rtl/>
          <w:lang w:bidi="he-IL"/>
        </w:rPr>
        <w:t>מזמי</w:t>
      </w:r>
      <w:r w:rsidR="00C77AF5" w:rsidRPr="00DA5ECA">
        <w:rPr>
          <w:rFonts w:ascii="David" w:hAnsi="David" w:cs="David"/>
          <w:noProof/>
          <w:szCs w:val="24"/>
          <w:rtl/>
          <w:lang w:bidi="he-IL"/>
        </w:rPr>
        <w:t>נים</w:t>
      </w:r>
      <w:r w:rsidR="00F63EF3" w:rsidRPr="00DA5ECA">
        <w:rPr>
          <w:rFonts w:ascii="David" w:hAnsi="David" w:cs="David"/>
          <w:szCs w:val="24"/>
          <w:rtl/>
        </w:rPr>
        <w:t xml:space="preserve"> </w:t>
      </w:r>
      <w:r w:rsidR="00C77AF5" w:rsidRPr="00DA5ECA">
        <w:rPr>
          <w:rFonts w:ascii="David" w:hAnsi="David" w:cs="David"/>
          <w:szCs w:val="24"/>
          <w:rtl/>
          <w:lang w:bidi="he-IL"/>
        </w:rPr>
        <w:t>חוקרים</w:t>
      </w:r>
      <w:r w:rsidR="00F63EF3" w:rsidRPr="00DA5ECA">
        <w:rPr>
          <w:rFonts w:ascii="David" w:hAnsi="David" w:cs="David"/>
          <w:szCs w:val="24"/>
          <w:rtl/>
        </w:rPr>
        <w:t>/</w:t>
      </w:r>
      <w:proofErr w:type="spellStart"/>
      <w:r w:rsidR="00F63EF3" w:rsidRPr="00DA5ECA">
        <w:rPr>
          <w:rFonts w:ascii="David" w:hAnsi="David" w:cs="David"/>
          <w:szCs w:val="24"/>
          <w:rtl/>
          <w:lang w:bidi="he-IL"/>
        </w:rPr>
        <w:t>ות</w:t>
      </w:r>
      <w:proofErr w:type="spellEnd"/>
      <w:r w:rsidR="00F63EF3" w:rsidRPr="00DA5ECA">
        <w:rPr>
          <w:rFonts w:ascii="David" w:hAnsi="David" w:cs="David"/>
          <w:szCs w:val="24"/>
          <w:rtl/>
          <w:lang w:bidi="he-IL"/>
        </w:rPr>
        <w:t xml:space="preserve"> לה</w:t>
      </w:r>
      <w:r w:rsidR="00C77AF5" w:rsidRPr="00DA5ECA">
        <w:rPr>
          <w:rFonts w:ascii="David" w:hAnsi="David" w:cs="David"/>
          <w:szCs w:val="24"/>
          <w:rtl/>
          <w:lang w:bidi="he-IL"/>
        </w:rPr>
        <w:t xml:space="preserve">שתתף </w:t>
      </w:r>
      <w:proofErr w:type="spellStart"/>
      <w:r w:rsidR="00C77AF5" w:rsidRPr="00DA5ECA">
        <w:rPr>
          <w:rFonts w:ascii="David" w:hAnsi="David" w:cs="David"/>
          <w:szCs w:val="24"/>
          <w:rtl/>
          <w:lang w:bidi="he-IL"/>
        </w:rPr>
        <w:t>בפרוייקט</w:t>
      </w:r>
      <w:proofErr w:type="spellEnd"/>
      <w:r w:rsidR="00C77AF5" w:rsidRPr="00DA5ECA">
        <w:rPr>
          <w:rFonts w:ascii="David" w:hAnsi="David" w:cs="David"/>
          <w:szCs w:val="24"/>
          <w:rtl/>
          <w:lang w:bidi="he-IL"/>
        </w:rPr>
        <w:t xml:space="preserve"> </w:t>
      </w:r>
      <w:r w:rsidR="00F63EF3" w:rsidRPr="00DA5ECA">
        <w:rPr>
          <w:rFonts w:ascii="David" w:hAnsi="David" w:cs="David"/>
          <w:szCs w:val="24"/>
          <w:rtl/>
          <w:lang w:bidi="he-IL"/>
        </w:rPr>
        <w:t xml:space="preserve">בנושא </w:t>
      </w:r>
      <w:r w:rsidR="00F63EF3" w:rsidRPr="00DA5ECA">
        <w:rPr>
          <w:rFonts w:ascii="David" w:hAnsi="David" w:cs="David"/>
          <w:szCs w:val="24"/>
          <w:rtl/>
        </w:rPr>
        <w:t>"</w:t>
      </w:r>
      <w:r w:rsidR="00F63EF3" w:rsidRPr="00DA5ECA">
        <w:rPr>
          <w:rFonts w:ascii="David" w:hAnsi="David" w:cs="David"/>
          <w:szCs w:val="24"/>
          <w:rtl/>
          <w:lang w:bidi="he-IL"/>
        </w:rPr>
        <w:t xml:space="preserve">המשפט והמרחב </w:t>
      </w:r>
      <w:proofErr w:type="spellStart"/>
      <w:r w:rsidR="00F63EF3" w:rsidRPr="00DA5ECA">
        <w:rPr>
          <w:rFonts w:ascii="David" w:hAnsi="David" w:cs="David"/>
          <w:szCs w:val="24"/>
          <w:rtl/>
          <w:lang w:bidi="he-IL"/>
        </w:rPr>
        <w:t>הקיברנטי</w:t>
      </w:r>
      <w:proofErr w:type="spellEnd"/>
      <w:r w:rsidR="00F63EF3" w:rsidRPr="00DA5ECA">
        <w:rPr>
          <w:rFonts w:ascii="David" w:hAnsi="David" w:cs="David"/>
          <w:szCs w:val="24"/>
          <w:rtl/>
        </w:rPr>
        <w:t>"</w:t>
      </w:r>
      <w:r w:rsidR="00C77AF5" w:rsidRPr="00DA5ECA">
        <w:rPr>
          <w:rFonts w:ascii="David" w:hAnsi="David" w:cs="David"/>
          <w:szCs w:val="24"/>
          <w:rtl/>
          <w:lang w:bidi="he-IL"/>
        </w:rPr>
        <w:t xml:space="preserve"> שיכלול את השלבים הבאים</w:t>
      </w:r>
      <w:r w:rsidR="00C77AF5" w:rsidRPr="00DA5ECA">
        <w:rPr>
          <w:rFonts w:ascii="David" w:hAnsi="David" w:cs="David"/>
          <w:szCs w:val="24"/>
          <w:rtl/>
        </w:rPr>
        <w:t>:</w:t>
      </w:r>
    </w:p>
    <w:p w14:paraId="136CBB1F" w14:textId="71F13785" w:rsidR="00C77AF5" w:rsidRPr="00B05E01" w:rsidRDefault="00B05E01" w:rsidP="00B05E01">
      <w:pPr>
        <w:pStyle w:val="a9"/>
        <w:numPr>
          <w:ilvl w:val="0"/>
          <w:numId w:val="1"/>
        </w:numPr>
        <w:bidi/>
        <w:spacing w:before="120" w:after="120" w:line="360" w:lineRule="auto"/>
        <w:jc w:val="both"/>
        <w:rPr>
          <w:rFonts w:ascii="Arial" w:hAnsi="Arial" w:cs="David"/>
          <w:szCs w:val="24"/>
          <w:lang w:val="en-US" w:bidi="he-IL"/>
        </w:rPr>
      </w:pPr>
      <w:r w:rsidRPr="00B05E01">
        <w:rPr>
          <w:rFonts w:ascii="Arial" w:hAnsi="Arial" w:cs="David" w:hint="cs"/>
          <w:szCs w:val="24"/>
          <w:rtl/>
          <w:lang w:bidi="he-IL"/>
        </w:rPr>
        <w:t xml:space="preserve">הגשת הצעה </w:t>
      </w:r>
      <w:r w:rsidRPr="00B05E01">
        <w:rPr>
          <w:rFonts w:ascii="Arial" w:hAnsi="Arial" w:cs="David" w:hint="cs"/>
          <w:szCs w:val="24"/>
          <w:rtl/>
        </w:rPr>
        <w:t>(</w:t>
      </w:r>
      <w:r w:rsidRPr="00B05E01">
        <w:rPr>
          <w:rFonts w:ascii="Arial" w:hAnsi="Arial" w:cs="David" w:hint="cs"/>
          <w:szCs w:val="24"/>
          <w:rtl/>
          <w:lang w:bidi="he-IL"/>
        </w:rPr>
        <w:t>תמצית</w:t>
      </w:r>
      <w:r w:rsidRPr="00B05E01">
        <w:rPr>
          <w:rFonts w:ascii="Arial" w:hAnsi="Arial" w:cs="David" w:hint="cs"/>
          <w:szCs w:val="24"/>
          <w:rtl/>
        </w:rPr>
        <w:t xml:space="preserve">) </w:t>
      </w:r>
      <w:r w:rsidRPr="00B05E01">
        <w:rPr>
          <w:rFonts w:ascii="Arial" w:hAnsi="Arial" w:cs="David" w:hint="cs"/>
          <w:szCs w:val="24"/>
          <w:rtl/>
          <w:lang w:bidi="he-IL"/>
        </w:rPr>
        <w:t>למאמר</w:t>
      </w:r>
      <w:r w:rsidR="005F3461">
        <w:rPr>
          <w:rFonts w:ascii="Arial" w:hAnsi="Arial" w:cs="David" w:hint="cs"/>
          <w:szCs w:val="24"/>
          <w:rtl/>
        </w:rPr>
        <w:t>,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 ב</w:t>
      </w:r>
      <w:r w:rsidR="00C77AF5" w:rsidRPr="00B05E01">
        <w:rPr>
          <w:rFonts w:ascii="Arial" w:hAnsi="Arial" w:cs="David" w:hint="cs"/>
          <w:szCs w:val="24"/>
          <w:rtl/>
          <w:lang w:bidi="he-IL"/>
        </w:rPr>
        <w:t xml:space="preserve">היקף של עד </w:t>
      </w:r>
      <w:r w:rsidRPr="00B05E01">
        <w:rPr>
          <w:rFonts w:ascii="Arial" w:hAnsi="Arial" w:cs="David" w:hint="cs"/>
          <w:szCs w:val="24"/>
          <w:rtl/>
          <w:lang w:val="en-US" w:bidi="he-IL"/>
        </w:rPr>
        <w:t>1000 מילים, עד ליום 15 בינואר 2017</w:t>
      </w:r>
      <w:r w:rsidR="00C77AF5" w:rsidRPr="00B05E01">
        <w:rPr>
          <w:rFonts w:ascii="Arial" w:hAnsi="Arial" w:cs="David" w:hint="cs"/>
          <w:szCs w:val="24"/>
          <w:rtl/>
          <w:lang w:val="en-US" w:bidi="he-IL"/>
        </w:rPr>
        <w:t>;</w:t>
      </w:r>
    </w:p>
    <w:p w14:paraId="617BCA05" w14:textId="77777777" w:rsidR="00C77AF5" w:rsidRPr="00B05E01" w:rsidRDefault="00C77AF5" w:rsidP="00C77AF5">
      <w:pPr>
        <w:pStyle w:val="a9"/>
        <w:numPr>
          <w:ilvl w:val="0"/>
          <w:numId w:val="1"/>
        </w:numPr>
        <w:bidi/>
        <w:spacing w:before="120" w:after="120" w:line="360" w:lineRule="auto"/>
        <w:jc w:val="both"/>
        <w:rPr>
          <w:rFonts w:ascii="Arial" w:hAnsi="Arial" w:cs="David"/>
          <w:szCs w:val="24"/>
          <w:lang w:val="en-US" w:bidi="he-IL"/>
        </w:rPr>
      </w:pPr>
      <w:r w:rsidRPr="00B05E01">
        <w:rPr>
          <w:rFonts w:ascii="Arial" w:hAnsi="Arial" w:cs="David" w:hint="cs"/>
          <w:szCs w:val="24"/>
          <w:rtl/>
          <w:lang w:val="en-US" w:bidi="he-IL"/>
        </w:rPr>
        <w:t>מספר הצעות נבחרות יזכו למענק מחקר בסך של 6000 ש״ח ממכון סאקר;</w:t>
      </w:r>
    </w:p>
    <w:p w14:paraId="283807D4" w14:textId="76ED4FCC" w:rsidR="00C77AF5" w:rsidRPr="00B05E01" w:rsidRDefault="00C77AF5" w:rsidP="0098102B">
      <w:pPr>
        <w:pStyle w:val="a9"/>
        <w:numPr>
          <w:ilvl w:val="0"/>
          <w:numId w:val="1"/>
        </w:numPr>
        <w:bidi/>
        <w:spacing w:before="120" w:after="120" w:line="360" w:lineRule="auto"/>
        <w:jc w:val="both"/>
        <w:rPr>
          <w:rFonts w:ascii="Arial" w:hAnsi="Arial" w:cs="David"/>
          <w:szCs w:val="24"/>
          <w:lang w:val="en-US" w:bidi="he-IL"/>
        </w:rPr>
      </w:pPr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הגשת טיוטות </w:t>
      </w:r>
      <w:r w:rsidR="00B05E01" w:rsidRPr="00B05E01">
        <w:rPr>
          <w:rFonts w:ascii="Arial" w:hAnsi="Arial" w:cs="David" w:hint="cs"/>
          <w:szCs w:val="24"/>
          <w:rtl/>
          <w:lang w:val="en-US" w:bidi="he-IL"/>
        </w:rPr>
        <w:t>ראשונות של ה</w:t>
      </w:r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מאמרים עד ליום 1 ביוני </w:t>
      </w:r>
      <w:r w:rsidR="0098102B">
        <w:rPr>
          <w:rFonts w:ascii="Arial" w:hAnsi="Arial" w:cs="David" w:hint="cs"/>
          <w:szCs w:val="24"/>
          <w:rtl/>
          <w:lang w:val="en-US" w:bidi="he-IL"/>
        </w:rPr>
        <w:t>2017</w:t>
      </w:r>
      <w:r w:rsidRPr="00B05E01">
        <w:rPr>
          <w:rFonts w:ascii="Arial" w:hAnsi="Arial" w:cs="David" w:hint="cs"/>
          <w:szCs w:val="24"/>
          <w:rtl/>
          <w:lang w:val="en-US" w:bidi="he-IL"/>
        </w:rPr>
        <w:t>;</w:t>
      </w:r>
    </w:p>
    <w:p w14:paraId="73891E95" w14:textId="3CDC3F96" w:rsidR="00C77AF5" w:rsidRPr="00B05E01" w:rsidRDefault="00C77AF5" w:rsidP="0098102B">
      <w:pPr>
        <w:pStyle w:val="a9"/>
        <w:numPr>
          <w:ilvl w:val="0"/>
          <w:numId w:val="1"/>
        </w:numPr>
        <w:bidi/>
        <w:spacing w:before="120" w:after="120" w:line="360" w:lineRule="auto"/>
        <w:jc w:val="both"/>
        <w:rPr>
          <w:rFonts w:ascii="Arial" w:hAnsi="Arial" w:cs="David"/>
          <w:szCs w:val="24"/>
          <w:lang w:val="en-US" w:bidi="he-IL"/>
        </w:rPr>
      </w:pPr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מכון סאקר </w:t>
      </w:r>
      <w:proofErr w:type="spellStart"/>
      <w:r w:rsidRPr="00B05E01">
        <w:rPr>
          <w:rFonts w:ascii="Arial" w:hAnsi="Arial" w:cs="David" w:hint="cs"/>
          <w:szCs w:val="24"/>
          <w:rtl/>
          <w:lang w:val="en-US" w:bidi="he-IL"/>
        </w:rPr>
        <w:t>ו״חוקים</w:t>
      </w:r>
      <w:proofErr w:type="spellEnd"/>
      <w:r w:rsidRPr="00B05E01">
        <w:rPr>
          <w:rFonts w:ascii="Arial" w:hAnsi="Arial" w:cs="David" w:hint="cs"/>
          <w:szCs w:val="24"/>
          <w:rtl/>
          <w:lang w:val="en-US" w:bidi="he-IL"/>
        </w:rPr>
        <w:t>״ יערכו במהלך חודש יוני</w:t>
      </w:r>
      <w:r w:rsidR="0098102B">
        <w:rPr>
          <w:rFonts w:ascii="Arial" w:hAnsi="Arial" w:cs="David" w:hint="cs"/>
          <w:szCs w:val="24"/>
          <w:rtl/>
          <w:lang w:val="en-US" w:bidi="he-IL"/>
        </w:rPr>
        <w:t xml:space="preserve"> 2017 </w:t>
      </w:r>
      <w:r w:rsidRPr="00B05E01">
        <w:rPr>
          <w:rFonts w:ascii="Arial" w:hAnsi="Arial" w:cs="David" w:hint="cs"/>
          <w:szCs w:val="24"/>
          <w:rtl/>
          <w:lang w:val="en-US" w:bidi="he-IL"/>
        </w:rPr>
        <w:t>שולחן עגול לדיון ב</w:t>
      </w:r>
      <w:r w:rsidR="00B05E01" w:rsidRPr="00B05E01">
        <w:rPr>
          <w:rFonts w:ascii="Arial" w:hAnsi="Arial" w:cs="David" w:hint="cs"/>
          <w:szCs w:val="24"/>
          <w:rtl/>
          <w:lang w:val="en-US" w:bidi="he-IL"/>
        </w:rPr>
        <w:t>טיוטות ה</w:t>
      </w:r>
      <w:r w:rsidRPr="00B05E01">
        <w:rPr>
          <w:rFonts w:ascii="Arial" w:hAnsi="Arial" w:cs="David" w:hint="cs"/>
          <w:szCs w:val="24"/>
          <w:rtl/>
          <w:lang w:val="en-US" w:bidi="he-IL"/>
        </w:rPr>
        <w:t>מאמרים שיוגשו, בשיתוף עם חוקרים/</w:t>
      </w:r>
      <w:proofErr w:type="spellStart"/>
      <w:r w:rsidRPr="00B05E01">
        <w:rPr>
          <w:rFonts w:ascii="Arial" w:hAnsi="Arial" w:cs="David" w:hint="cs"/>
          <w:szCs w:val="24"/>
          <w:rtl/>
          <w:lang w:val="en-US" w:bidi="he-IL"/>
        </w:rPr>
        <w:t>ות</w:t>
      </w:r>
      <w:proofErr w:type="spellEnd"/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 נוספים מהתחום וכן עם נציגים ממשרד המשפטים ובעלי עניין נוספים;</w:t>
      </w:r>
    </w:p>
    <w:p w14:paraId="5E54E146" w14:textId="626E4B38" w:rsidR="00C77AF5" w:rsidRPr="00B05E01" w:rsidRDefault="00C77AF5" w:rsidP="0098102B">
      <w:pPr>
        <w:pStyle w:val="a9"/>
        <w:numPr>
          <w:ilvl w:val="0"/>
          <w:numId w:val="1"/>
        </w:numPr>
        <w:bidi/>
        <w:spacing w:before="120" w:after="120" w:line="360" w:lineRule="auto"/>
        <w:jc w:val="both"/>
        <w:rPr>
          <w:rFonts w:ascii="Arial" w:hAnsi="Arial" w:cs="David"/>
          <w:szCs w:val="24"/>
          <w:lang w:val="en-US" w:bidi="he-IL"/>
        </w:rPr>
      </w:pPr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המאמרים יוגשו עד סוף חודש </w:t>
      </w:r>
      <w:r w:rsidR="0098102B">
        <w:rPr>
          <w:rFonts w:ascii="Arial" w:hAnsi="Arial" w:cs="David" w:hint="cs"/>
          <w:szCs w:val="24"/>
          <w:rtl/>
          <w:lang w:val="en-US" w:bidi="he-IL"/>
        </w:rPr>
        <w:t xml:space="preserve">ספטמבר 2017 </w:t>
      </w:r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בנוסח סופי לפרסום </w:t>
      </w:r>
      <w:proofErr w:type="spellStart"/>
      <w:r w:rsidRPr="00B05E01">
        <w:rPr>
          <w:rFonts w:ascii="Arial" w:hAnsi="Arial" w:cs="David" w:hint="cs"/>
          <w:szCs w:val="24"/>
          <w:rtl/>
          <w:lang w:val="en-US" w:bidi="he-IL"/>
        </w:rPr>
        <w:t>ב״חוקים</w:t>
      </w:r>
      <w:proofErr w:type="spellEnd"/>
      <w:r w:rsidRPr="00B05E01">
        <w:rPr>
          <w:rFonts w:ascii="Arial" w:hAnsi="Arial" w:cs="David" w:hint="cs"/>
          <w:szCs w:val="24"/>
          <w:rtl/>
          <w:lang w:val="en-US" w:bidi="he-IL"/>
        </w:rPr>
        <w:t>״;</w:t>
      </w:r>
    </w:p>
    <w:p w14:paraId="12BA85BA" w14:textId="77777777" w:rsidR="00C77AF5" w:rsidRPr="00B05E01" w:rsidRDefault="00C77AF5" w:rsidP="00C77AF5">
      <w:pPr>
        <w:pStyle w:val="a9"/>
        <w:numPr>
          <w:ilvl w:val="0"/>
          <w:numId w:val="1"/>
        </w:numPr>
        <w:bidi/>
        <w:spacing w:before="120" w:after="120" w:line="360" w:lineRule="auto"/>
        <w:jc w:val="both"/>
        <w:rPr>
          <w:rFonts w:ascii="Arial" w:hAnsi="Arial" w:cs="David"/>
          <w:szCs w:val="24"/>
          <w:lang w:val="en-US" w:bidi="he-IL"/>
        </w:rPr>
      </w:pPr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פרסום המאמרים </w:t>
      </w:r>
      <w:proofErr w:type="spellStart"/>
      <w:r w:rsidRPr="00B05E01">
        <w:rPr>
          <w:rFonts w:ascii="Arial" w:hAnsi="Arial" w:cs="David" w:hint="cs"/>
          <w:szCs w:val="24"/>
          <w:rtl/>
          <w:lang w:val="en-US" w:bidi="he-IL"/>
        </w:rPr>
        <w:t>בגליון</w:t>
      </w:r>
      <w:proofErr w:type="spellEnd"/>
      <w:r w:rsidRPr="00B05E01">
        <w:rPr>
          <w:rFonts w:ascii="Arial" w:hAnsi="Arial" w:cs="David" w:hint="cs"/>
          <w:szCs w:val="24"/>
          <w:rtl/>
          <w:lang w:val="en-US" w:bidi="he-IL"/>
        </w:rPr>
        <w:t xml:space="preserve"> נושאי של ״חוקים״, בכפוף לשיפוט כמקובל בכתב העת (שיפוט משולב של עמיתים וחברי המערכת).</w:t>
      </w:r>
    </w:p>
    <w:p w14:paraId="548C89F0" w14:textId="77777777" w:rsidR="00B05E01" w:rsidRPr="00B05E01" w:rsidRDefault="00B05E01" w:rsidP="00B05E01">
      <w:pPr>
        <w:bidi/>
        <w:spacing w:before="120" w:after="120" w:line="360" w:lineRule="auto"/>
        <w:jc w:val="both"/>
        <w:rPr>
          <w:rFonts w:ascii="Arial" w:hAnsi="Arial" w:cs="David"/>
          <w:b/>
          <w:bCs/>
          <w:szCs w:val="24"/>
          <w:rtl/>
        </w:rPr>
      </w:pPr>
      <w:r w:rsidRPr="00B05E01">
        <w:rPr>
          <w:rFonts w:ascii="Arial" w:hAnsi="Arial" w:cs="David" w:hint="cs"/>
          <w:b/>
          <w:bCs/>
          <w:szCs w:val="24"/>
          <w:rtl/>
          <w:lang w:bidi="he-IL"/>
        </w:rPr>
        <w:t>תיאור הנושא</w:t>
      </w:r>
      <w:r w:rsidRPr="00B05E01">
        <w:rPr>
          <w:rFonts w:ascii="Arial" w:hAnsi="Arial" w:cs="David" w:hint="cs"/>
          <w:b/>
          <w:bCs/>
          <w:szCs w:val="24"/>
          <w:rtl/>
        </w:rPr>
        <w:t xml:space="preserve">: </w:t>
      </w:r>
    </w:p>
    <w:p w14:paraId="06A59C80" w14:textId="2A89186B" w:rsidR="00F63EF3" w:rsidRPr="00B05E01" w:rsidRDefault="00F63EF3" w:rsidP="00CD348B">
      <w:pPr>
        <w:bidi/>
        <w:spacing w:before="120" w:after="120" w:line="360" w:lineRule="auto"/>
        <w:jc w:val="both"/>
        <w:rPr>
          <w:rFonts w:ascii="Arial" w:hAnsi="Arial" w:cs="David"/>
          <w:szCs w:val="24"/>
          <w:rtl/>
        </w:rPr>
      </w:pPr>
      <w:r w:rsidRPr="00B05E01">
        <w:rPr>
          <w:rFonts w:ascii="Arial" w:hAnsi="Arial" w:cs="David" w:hint="cs"/>
          <w:szCs w:val="24"/>
          <w:rtl/>
          <w:lang w:bidi="he-IL"/>
        </w:rPr>
        <w:t>ה</w:t>
      </w:r>
      <w:r w:rsidRPr="00B05E01">
        <w:rPr>
          <w:rFonts w:ascii="Arial" w:hAnsi="Arial" w:cs="David"/>
          <w:szCs w:val="24"/>
          <w:rtl/>
          <w:lang w:bidi="he-IL"/>
        </w:rPr>
        <w:t xml:space="preserve">צמיחה </w:t>
      </w:r>
      <w:r w:rsidRPr="00B05E01">
        <w:rPr>
          <w:rFonts w:ascii="Arial" w:hAnsi="Arial" w:cs="David" w:hint="cs"/>
          <w:szCs w:val="24"/>
          <w:rtl/>
          <w:lang w:bidi="he-IL"/>
        </w:rPr>
        <w:t>ה</w:t>
      </w:r>
      <w:r w:rsidRPr="00B05E01">
        <w:rPr>
          <w:rFonts w:ascii="Arial" w:hAnsi="Arial" w:cs="David"/>
          <w:szCs w:val="24"/>
          <w:rtl/>
          <w:lang w:bidi="he-IL"/>
        </w:rPr>
        <w:t>מהירה בתפוצת המחשוב והתקשורת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 יצרו בזמן קצר מרחב נוסף בעולם </w:t>
      </w:r>
      <w:r w:rsidRPr="00B05E01">
        <w:rPr>
          <w:rFonts w:ascii="Arial" w:hAnsi="Arial" w:cs="David"/>
          <w:szCs w:val="24"/>
          <w:rtl/>
        </w:rPr>
        <w:t>–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 המרחב </w:t>
      </w:r>
      <w:proofErr w:type="spellStart"/>
      <w:r w:rsidRPr="00B05E01">
        <w:rPr>
          <w:rFonts w:ascii="Arial" w:hAnsi="Arial" w:cs="David" w:hint="cs"/>
          <w:szCs w:val="24"/>
          <w:rtl/>
          <w:lang w:bidi="he-IL"/>
        </w:rPr>
        <w:t>הקיברנטי</w:t>
      </w:r>
      <w:proofErr w:type="spellEnd"/>
      <w:r w:rsidRPr="00B05E01">
        <w:rPr>
          <w:rFonts w:ascii="Arial" w:hAnsi="Arial" w:cs="David" w:hint="cs"/>
          <w:szCs w:val="24"/>
          <w:rtl/>
        </w:rPr>
        <w:t xml:space="preserve">. </w:t>
      </w:r>
      <w:r w:rsidRPr="00B05E01">
        <w:rPr>
          <w:rFonts w:ascii="Arial" w:hAnsi="Arial" w:cs="David" w:hint="cs"/>
          <w:szCs w:val="24"/>
          <w:rtl/>
          <w:lang w:bidi="he-IL"/>
        </w:rPr>
        <w:t>לצד האפשרויות הגלומות במרחב זה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>אשר משמש רבים ככלי למפגש עם אנשים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>הבעת דעות</w:t>
      </w:r>
      <w:r w:rsidR="00CD348B">
        <w:rPr>
          <w:rFonts w:ascii="Arial" w:hAnsi="Arial" w:cs="David" w:hint="cs"/>
          <w:szCs w:val="24"/>
          <w:rtl/>
          <w:lang w:bidi="he-IL"/>
        </w:rPr>
        <w:t xml:space="preserve"> ו</w:t>
      </w:r>
      <w:r w:rsidRPr="00B05E01">
        <w:rPr>
          <w:rFonts w:ascii="Arial" w:hAnsi="Arial" w:cs="David" w:hint="cs"/>
          <w:szCs w:val="24"/>
          <w:rtl/>
          <w:lang w:bidi="he-IL"/>
        </w:rPr>
        <w:t>פעילות עסקית או תרבותית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המרחב </w:t>
      </w:r>
      <w:proofErr w:type="spellStart"/>
      <w:r w:rsidRPr="00B05E01">
        <w:rPr>
          <w:rFonts w:ascii="Arial" w:hAnsi="Arial" w:cs="David" w:hint="cs"/>
          <w:szCs w:val="24"/>
          <w:rtl/>
          <w:lang w:bidi="he-IL"/>
        </w:rPr>
        <w:t>הקיברנטי</w:t>
      </w:r>
      <w:proofErr w:type="spellEnd"/>
      <w:r w:rsidRPr="00B05E01">
        <w:rPr>
          <w:rFonts w:ascii="Arial" w:hAnsi="Arial" w:cs="David" w:hint="cs"/>
          <w:szCs w:val="24"/>
          <w:rtl/>
          <w:lang w:bidi="he-IL"/>
        </w:rPr>
        <w:t xml:space="preserve"> </w:t>
      </w:r>
      <w:r w:rsidRPr="00B05E01">
        <w:rPr>
          <w:rFonts w:ascii="Arial" w:hAnsi="Arial" w:cs="David"/>
          <w:szCs w:val="24"/>
          <w:rtl/>
          <w:lang w:bidi="he-IL"/>
        </w:rPr>
        <w:t xml:space="preserve">טומן בחובו </w:t>
      </w:r>
      <w:r w:rsidRPr="00B05E01">
        <w:rPr>
          <w:rFonts w:ascii="Arial" w:hAnsi="Arial" w:cs="David" w:hint="cs"/>
          <w:szCs w:val="24"/>
          <w:rtl/>
          <w:lang w:bidi="he-IL"/>
        </w:rPr>
        <w:t>גם אתגרים משפטיים לאור המאפיינים הייחודים של הפרות של נורמות משפטיות המתרחשות במרחב זה</w:t>
      </w:r>
      <w:r w:rsidRPr="00B05E01">
        <w:rPr>
          <w:rFonts w:ascii="Arial" w:hAnsi="Arial" w:cs="David" w:hint="cs"/>
          <w:szCs w:val="24"/>
          <w:rtl/>
        </w:rPr>
        <w:t xml:space="preserve">. </w:t>
      </w:r>
      <w:r w:rsidRPr="00B05E01">
        <w:rPr>
          <w:rFonts w:ascii="Arial" w:hAnsi="Arial" w:cs="David"/>
          <w:szCs w:val="24"/>
          <w:rtl/>
          <w:lang w:bidi="he-IL"/>
        </w:rPr>
        <w:t>אנו מזמינים מאמרים שי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בחנו את האתגרים החדשים שהמרחב </w:t>
      </w:r>
      <w:proofErr w:type="spellStart"/>
      <w:r w:rsidRPr="00B05E01">
        <w:rPr>
          <w:rFonts w:ascii="Arial" w:hAnsi="Arial" w:cs="David" w:hint="cs"/>
          <w:szCs w:val="24"/>
          <w:rtl/>
          <w:lang w:bidi="he-IL"/>
        </w:rPr>
        <w:t>הקיברנטי</w:t>
      </w:r>
      <w:proofErr w:type="spellEnd"/>
      <w:r w:rsidRPr="00B05E01">
        <w:rPr>
          <w:rFonts w:ascii="Arial" w:hAnsi="Arial" w:cs="David" w:hint="cs"/>
          <w:szCs w:val="24"/>
          <w:rtl/>
          <w:lang w:bidi="he-IL"/>
        </w:rPr>
        <w:t xml:space="preserve"> מעמיד בפני המשפט </w:t>
      </w:r>
      <w:r w:rsidRPr="00B05E01">
        <w:rPr>
          <w:rFonts w:ascii="Arial" w:hAnsi="Arial" w:cs="David"/>
          <w:szCs w:val="24"/>
          <w:rtl/>
          <w:lang w:bidi="he-IL"/>
        </w:rPr>
        <w:t>מזוויות נורמטיביות</w:t>
      </w:r>
      <w:r w:rsidRPr="00B05E01">
        <w:rPr>
          <w:rFonts w:ascii="Arial" w:hAnsi="Arial" w:cs="David"/>
          <w:szCs w:val="24"/>
          <w:rtl/>
        </w:rPr>
        <w:t xml:space="preserve">, </w:t>
      </w:r>
      <w:r w:rsidRPr="00B05E01">
        <w:rPr>
          <w:rFonts w:ascii="Arial" w:hAnsi="Arial" w:cs="David"/>
          <w:szCs w:val="24"/>
          <w:rtl/>
          <w:lang w:bidi="he-IL"/>
        </w:rPr>
        <w:t>השוואתיות</w:t>
      </w:r>
      <w:r w:rsidRPr="00B05E01">
        <w:rPr>
          <w:rFonts w:ascii="Arial" w:hAnsi="Arial" w:cs="David"/>
          <w:szCs w:val="24"/>
          <w:rtl/>
        </w:rPr>
        <w:t xml:space="preserve">, </w:t>
      </w:r>
      <w:r w:rsidRPr="00B05E01">
        <w:rPr>
          <w:rFonts w:ascii="Arial" w:hAnsi="Arial" w:cs="David"/>
          <w:szCs w:val="24"/>
          <w:rtl/>
          <w:lang w:bidi="he-IL"/>
        </w:rPr>
        <w:t>אמפיריות או תיאורטיות אחרות</w:t>
      </w:r>
      <w:r w:rsidRPr="00B05E01">
        <w:rPr>
          <w:rFonts w:ascii="Arial" w:hAnsi="Arial" w:cs="David"/>
          <w:szCs w:val="24"/>
          <w:rtl/>
        </w:rPr>
        <w:t xml:space="preserve">. </w:t>
      </w:r>
    </w:p>
    <w:p w14:paraId="1A7182D0" w14:textId="4829FC1E" w:rsidR="00F63EF3" w:rsidRPr="00B05E01" w:rsidRDefault="00F63EF3" w:rsidP="00086D87">
      <w:pPr>
        <w:widowControl w:val="0"/>
        <w:tabs>
          <w:tab w:val="num" w:pos="386"/>
        </w:tabs>
        <w:autoSpaceDE w:val="0"/>
        <w:autoSpaceDN w:val="0"/>
        <w:bidi/>
        <w:adjustRightInd w:val="0"/>
        <w:spacing w:before="102" w:line="360" w:lineRule="auto"/>
        <w:ind w:left="26"/>
        <w:jc w:val="both"/>
        <w:rPr>
          <w:rFonts w:cs="David"/>
          <w:szCs w:val="24"/>
          <w:rtl/>
          <w:lang w:bidi="he-IL"/>
        </w:rPr>
      </w:pPr>
      <w:r w:rsidRPr="00B05E01">
        <w:rPr>
          <w:rFonts w:ascii="Arial" w:hAnsi="Arial" w:cs="David" w:hint="cs"/>
          <w:szCs w:val="24"/>
          <w:rtl/>
          <w:lang w:bidi="he-IL"/>
        </w:rPr>
        <w:t xml:space="preserve">במסגרת הגיליון המיוחד מכון </w:t>
      </w:r>
      <w:r w:rsidR="00086D87">
        <w:rPr>
          <w:rFonts w:ascii="Arial" w:hAnsi="Arial" w:cs="David" w:hint="cs"/>
          <w:szCs w:val="24"/>
          <w:rtl/>
          <w:lang w:bidi="he-IL"/>
        </w:rPr>
        <w:t>סאקר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 וכתב העת </w:t>
      </w:r>
      <w:r w:rsidRPr="00B05E01">
        <w:rPr>
          <w:rFonts w:ascii="Arial" w:hAnsi="Arial" w:cs="David" w:hint="cs"/>
          <w:szCs w:val="24"/>
          <w:rtl/>
        </w:rPr>
        <w:t>"</w:t>
      </w:r>
      <w:r w:rsidRPr="00B05E01">
        <w:rPr>
          <w:rFonts w:ascii="Arial" w:hAnsi="Arial" w:cs="David" w:hint="cs"/>
          <w:szCs w:val="24"/>
          <w:rtl/>
          <w:lang w:bidi="he-IL"/>
        </w:rPr>
        <w:t>חוקים</w:t>
      </w:r>
      <w:r w:rsidRPr="00B05E01">
        <w:rPr>
          <w:rFonts w:ascii="Arial" w:hAnsi="Arial" w:cs="David" w:hint="cs"/>
          <w:szCs w:val="24"/>
          <w:rtl/>
        </w:rPr>
        <w:t xml:space="preserve">" </w:t>
      </w:r>
      <w:r w:rsidRPr="00B05E01">
        <w:rPr>
          <w:rFonts w:ascii="Arial" w:hAnsi="Arial" w:cs="David" w:hint="cs"/>
          <w:szCs w:val="24"/>
          <w:rtl/>
          <w:lang w:bidi="he-IL"/>
        </w:rPr>
        <w:t>מתעניינים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>בין היתר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>במאמרים שיעסקו בשני תזכירי חוק אשר נוגעים לנושא הגיליון</w:t>
      </w:r>
      <w:r w:rsidRPr="00B05E01">
        <w:rPr>
          <w:rFonts w:ascii="Arial" w:hAnsi="Arial" w:cs="David" w:hint="cs"/>
          <w:szCs w:val="24"/>
          <w:rtl/>
        </w:rPr>
        <w:t xml:space="preserve">. </w:t>
      </w:r>
      <w:r w:rsidRPr="00B05E01">
        <w:rPr>
          <w:rFonts w:ascii="Arial" w:hAnsi="Arial" w:cs="David" w:hint="cs"/>
          <w:szCs w:val="24"/>
          <w:rtl/>
          <w:lang w:bidi="he-IL"/>
        </w:rPr>
        <w:t>הראשון הוא תזכיר חוק זכויות יוצרים שפורסם ע</w:t>
      </w:r>
      <w:r w:rsidR="00B05E01" w:rsidRPr="00B05E01">
        <w:rPr>
          <w:rFonts w:ascii="Arial" w:hAnsi="Arial" w:cs="David" w:hint="cs"/>
          <w:szCs w:val="24"/>
          <w:rtl/>
          <w:lang w:bidi="he-IL"/>
        </w:rPr>
        <w:t xml:space="preserve">ל ידי משרד המשפטים בחודש ספטמבר </w:t>
      </w:r>
      <w:r w:rsidR="00B05E01" w:rsidRPr="00B05E01">
        <w:rPr>
          <w:rFonts w:ascii="Arial" w:hAnsi="Arial" w:cs="David" w:hint="cs"/>
          <w:szCs w:val="24"/>
          <w:rtl/>
          <w:lang w:val="en-US" w:bidi="he-IL"/>
        </w:rPr>
        <w:t>2016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>אשר מבקש לתקן את חוק זכויות יוצרים</w:t>
      </w:r>
      <w:r w:rsidRPr="00B05E01">
        <w:rPr>
          <w:rFonts w:cs="David" w:hint="cs"/>
          <w:szCs w:val="24"/>
          <w:rtl/>
        </w:rPr>
        <w:t xml:space="preserve">, </w:t>
      </w:r>
      <w:proofErr w:type="spellStart"/>
      <w:r w:rsidRPr="00B05E01">
        <w:rPr>
          <w:rFonts w:cs="David" w:hint="cs"/>
          <w:szCs w:val="24"/>
          <w:rtl/>
          <w:lang w:bidi="he-IL"/>
        </w:rPr>
        <w:t>התשס</w:t>
      </w:r>
      <w:proofErr w:type="spellEnd"/>
      <w:r w:rsidRPr="00B05E01">
        <w:rPr>
          <w:rFonts w:cs="David" w:hint="cs"/>
          <w:szCs w:val="24"/>
          <w:rtl/>
        </w:rPr>
        <w:t>"</w:t>
      </w:r>
      <w:r w:rsidRPr="00B05E01">
        <w:rPr>
          <w:rFonts w:cs="David" w:hint="cs"/>
          <w:szCs w:val="24"/>
          <w:rtl/>
          <w:lang w:bidi="he-IL"/>
        </w:rPr>
        <w:t>ח</w:t>
      </w:r>
      <w:r w:rsidRPr="00B05E01">
        <w:rPr>
          <w:rFonts w:cs="David" w:hint="cs"/>
          <w:szCs w:val="24"/>
          <w:rtl/>
        </w:rPr>
        <w:t>-</w:t>
      </w:r>
      <w:r w:rsidR="00B05E01" w:rsidRPr="00B05E01">
        <w:rPr>
          <w:rFonts w:cs="David" w:hint="cs"/>
          <w:szCs w:val="24"/>
          <w:rtl/>
          <w:lang w:val="en-US" w:bidi="he-IL"/>
        </w:rPr>
        <w:t>2007</w:t>
      </w:r>
      <w:r w:rsidRPr="00B05E01">
        <w:rPr>
          <w:rFonts w:ascii="Arial" w:hAnsi="Arial" w:cs="David" w:hint="cs"/>
          <w:szCs w:val="24"/>
          <w:rtl/>
        </w:rPr>
        <w:t xml:space="preserve">, </w:t>
      </w:r>
      <w:r w:rsidRPr="00B05E01">
        <w:rPr>
          <w:rFonts w:ascii="Arial" w:hAnsi="Arial" w:cs="David" w:hint="cs"/>
          <w:szCs w:val="24"/>
          <w:rtl/>
          <w:lang w:bidi="he-IL"/>
        </w:rPr>
        <w:t xml:space="preserve">בין היתר על ידי הרחבת סל הכלים הזמינים לבעלי זכויות יוצרים ולרשויות המדינה </w:t>
      </w:r>
      <w:r w:rsidRPr="00B05E01">
        <w:rPr>
          <w:rFonts w:cs="David" w:hint="cs"/>
          <w:szCs w:val="24"/>
          <w:rtl/>
          <w:lang w:bidi="he-IL"/>
        </w:rPr>
        <w:t>להתמודדות עם הפרות של זכות יוצרים המתרחשות ברשת האינטרנט</w:t>
      </w:r>
      <w:r w:rsidRPr="00B05E01">
        <w:rPr>
          <w:rFonts w:cs="David" w:hint="cs"/>
          <w:szCs w:val="24"/>
          <w:rtl/>
        </w:rPr>
        <w:t xml:space="preserve">. </w:t>
      </w:r>
      <w:r w:rsidRPr="00B05E01">
        <w:rPr>
          <w:rFonts w:cs="David" w:hint="cs"/>
          <w:szCs w:val="24"/>
          <w:rtl/>
          <w:lang w:bidi="he-IL"/>
        </w:rPr>
        <w:t>השני הוא תזכיר חוק הסרת תוכן המה</w:t>
      </w:r>
      <w:r w:rsidR="00B05E01" w:rsidRPr="00B05E01">
        <w:rPr>
          <w:rFonts w:cs="David" w:hint="cs"/>
          <w:szCs w:val="24"/>
          <w:rtl/>
          <w:lang w:bidi="he-IL"/>
        </w:rPr>
        <w:t>ווה עבירה מרשת האינטרנט</w:t>
      </w:r>
      <w:r w:rsidR="00B05E01" w:rsidRPr="00B05E01">
        <w:rPr>
          <w:rFonts w:cs="David" w:hint="cs"/>
          <w:szCs w:val="24"/>
          <w:rtl/>
        </w:rPr>
        <w:t xml:space="preserve">, </w:t>
      </w:r>
      <w:r w:rsidR="00B05E01" w:rsidRPr="00B05E01">
        <w:rPr>
          <w:rFonts w:cs="David" w:hint="cs"/>
          <w:szCs w:val="24"/>
          <w:rtl/>
          <w:lang w:bidi="he-IL"/>
        </w:rPr>
        <w:t>התשע</w:t>
      </w:r>
      <w:r w:rsidR="00B05E01" w:rsidRPr="00B05E01">
        <w:rPr>
          <w:rFonts w:cs="David" w:hint="cs"/>
          <w:szCs w:val="24"/>
          <w:rtl/>
        </w:rPr>
        <w:t>"</w:t>
      </w:r>
      <w:r w:rsidR="00B05E01" w:rsidRPr="00B05E01">
        <w:rPr>
          <w:rFonts w:cs="David" w:hint="cs"/>
          <w:szCs w:val="24"/>
          <w:rtl/>
          <w:lang w:bidi="he-IL"/>
        </w:rPr>
        <w:t>ו</w:t>
      </w:r>
      <w:r w:rsidR="00B05E01" w:rsidRPr="00B05E01">
        <w:rPr>
          <w:rFonts w:cs="David" w:hint="cs"/>
          <w:szCs w:val="24"/>
          <w:rtl/>
        </w:rPr>
        <w:t>-</w:t>
      </w:r>
      <w:r w:rsidR="00B05E01" w:rsidRPr="00B05E01">
        <w:rPr>
          <w:rFonts w:cs="David" w:hint="cs"/>
          <w:szCs w:val="24"/>
          <w:rtl/>
          <w:lang w:val="en-US" w:bidi="he-IL"/>
        </w:rPr>
        <w:t xml:space="preserve">2016 </w:t>
      </w:r>
      <w:r w:rsidRPr="00B05E01">
        <w:rPr>
          <w:rFonts w:cs="David" w:hint="cs"/>
          <w:szCs w:val="24"/>
          <w:rtl/>
          <w:lang w:bidi="he-IL"/>
        </w:rPr>
        <w:t>שפורסם על ידי משרד המשפטים בחודש אוגוסט</w:t>
      </w:r>
      <w:r w:rsidR="00B05E01" w:rsidRPr="00B05E01">
        <w:rPr>
          <w:rFonts w:cs="David" w:hint="cs"/>
          <w:szCs w:val="24"/>
          <w:rtl/>
        </w:rPr>
        <w:t xml:space="preserve"> </w:t>
      </w:r>
      <w:r w:rsidR="00B05E01" w:rsidRPr="00B05E01">
        <w:rPr>
          <w:rFonts w:cs="David" w:hint="cs"/>
          <w:szCs w:val="24"/>
          <w:rtl/>
          <w:lang w:val="en-US" w:bidi="he-IL"/>
        </w:rPr>
        <w:t>2016</w:t>
      </w:r>
      <w:r w:rsidRPr="00B05E01">
        <w:rPr>
          <w:rFonts w:cs="David" w:hint="cs"/>
          <w:szCs w:val="24"/>
          <w:rtl/>
        </w:rPr>
        <w:t xml:space="preserve">, </w:t>
      </w:r>
      <w:r w:rsidRPr="00B05E01">
        <w:rPr>
          <w:rFonts w:cs="David" w:hint="cs"/>
          <w:szCs w:val="24"/>
          <w:rtl/>
          <w:lang w:bidi="he-IL"/>
        </w:rPr>
        <w:t xml:space="preserve">לפיו לבית המשפט תינתן הסמכות להורות להסיר מרשת האינטרנט תוכן המהווה </w:t>
      </w:r>
      <w:r w:rsidRPr="00B05E01">
        <w:rPr>
          <w:rFonts w:cs="David"/>
          <w:szCs w:val="24"/>
          <w:rtl/>
          <w:lang w:bidi="he-IL"/>
        </w:rPr>
        <w:t>עבירה פלילית ויש בו סיכון ממשי לביטחונו של אדם</w:t>
      </w:r>
      <w:r w:rsidRPr="00B05E01">
        <w:rPr>
          <w:rFonts w:cs="David"/>
          <w:szCs w:val="24"/>
          <w:rtl/>
        </w:rPr>
        <w:t xml:space="preserve">, </w:t>
      </w:r>
      <w:r w:rsidRPr="00B05E01">
        <w:rPr>
          <w:rFonts w:cs="David"/>
          <w:szCs w:val="24"/>
          <w:rtl/>
          <w:lang w:bidi="he-IL"/>
        </w:rPr>
        <w:t>לביטחון הציבור או לביטחון המדינה</w:t>
      </w:r>
      <w:r w:rsidRPr="00B05E01">
        <w:rPr>
          <w:rFonts w:cs="חרמון"/>
          <w:szCs w:val="24"/>
          <w:rtl/>
          <w:lang w:bidi="he-IL"/>
        </w:rPr>
        <w:t>.</w:t>
      </w:r>
      <w:r w:rsidRPr="00B05E01">
        <w:rPr>
          <w:rFonts w:cs="David" w:hint="cs"/>
          <w:szCs w:val="24"/>
          <w:rtl/>
        </w:rPr>
        <w:t xml:space="preserve"> </w:t>
      </w:r>
      <w:r w:rsidR="00CD348B">
        <w:rPr>
          <w:rFonts w:cs="David" w:hint="cs"/>
          <w:szCs w:val="24"/>
          <w:rtl/>
          <w:lang w:bidi="he-IL"/>
        </w:rPr>
        <w:t xml:space="preserve">יובהר, כי </w:t>
      </w:r>
      <w:proofErr w:type="spellStart"/>
      <w:r w:rsidR="00CD348B">
        <w:rPr>
          <w:rFonts w:cs="David" w:hint="cs"/>
          <w:szCs w:val="24"/>
          <w:rtl/>
          <w:lang w:bidi="he-IL"/>
        </w:rPr>
        <w:t>הגליון</w:t>
      </w:r>
      <w:proofErr w:type="spellEnd"/>
      <w:r w:rsidR="00CD348B">
        <w:rPr>
          <w:rFonts w:cs="David" w:hint="cs"/>
          <w:szCs w:val="24"/>
          <w:rtl/>
          <w:lang w:bidi="he-IL"/>
        </w:rPr>
        <w:t xml:space="preserve"> אינו מוגבל למאמרים בנוגע לתזכירי החוק הללו.</w:t>
      </w:r>
    </w:p>
    <w:p w14:paraId="0EA33175" w14:textId="7EC0E4AD" w:rsidR="005F3461" w:rsidRPr="005F3461" w:rsidRDefault="00B05E01" w:rsidP="005F3461">
      <w:pPr>
        <w:bidi/>
        <w:spacing w:before="120" w:after="120" w:line="360" w:lineRule="auto"/>
        <w:jc w:val="both"/>
        <w:rPr>
          <w:rFonts w:ascii="Arial" w:hAnsi="Arial" w:cs="David"/>
          <w:b/>
          <w:bCs/>
          <w:szCs w:val="24"/>
          <w:rtl/>
          <w:lang w:bidi="he-IL"/>
        </w:rPr>
      </w:pPr>
      <w:r w:rsidRPr="005F3461">
        <w:rPr>
          <w:rFonts w:ascii="Arial" w:hAnsi="Arial" w:cs="David" w:hint="cs"/>
          <w:b/>
          <w:bCs/>
          <w:szCs w:val="24"/>
          <w:rtl/>
          <w:lang w:bidi="he-IL"/>
        </w:rPr>
        <w:t>לפרטים נוספים</w:t>
      </w:r>
      <w:r w:rsidR="005F3461">
        <w:rPr>
          <w:rFonts w:ascii="Arial" w:hAnsi="Arial" w:cs="David" w:hint="cs"/>
          <w:b/>
          <w:bCs/>
          <w:szCs w:val="24"/>
          <w:rtl/>
          <w:lang w:bidi="he-IL"/>
        </w:rPr>
        <w:t xml:space="preserve"> והגשת הצעות</w:t>
      </w:r>
      <w:r w:rsidR="005F3461" w:rsidRPr="005F3461">
        <w:rPr>
          <w:rFonts w:ascii="Arial" w:hAnsi="Arial" w:cs="David" w:hint="cs"/>
          <w:b/>
          <w:bCs/>
          <w:szCs w:val="24"/>
          <w:rtl/>
        </w:rPr>
        <w:t>:</w:t>
      </w:r>
    </w:p>
    <w:p w14:paraId="6113A4FC" w14:textId="0143C889" w:rsidR="00A440C8" w:rsidRPr="00C77AF5" w:rsidRDefault="005F3461" w:rsidP="00A56607">
      <w:pPr>
        <w:widowControl w:val="0"/>
        <w:tabs>
          <w:tab w:val="num" w:pos="386"/>
        </w:tabs>
        <w:autoSpaceDE w:val="0"/>
        <w:autoSpaceDN w:val="0"/>
        <w:bidi/>
        <w:adjustRightInd w:val="0"/>
        <w:spacing w:before="102" w:line="360" w:lineRule="auto"/>
        <w:ind w:left="26"/>
        <w:jc w:val="both"/>
        <w:rPr>
          <w:rtl/>
          <w:lang w:bidi="he-IL"/>
        </w:rPr>
      </w:pPr>
      <w:r>
        <w:rPr>
          <w:rFonts w:ascii="Arial" w:hAnsi="Arial" w:cs="David" w:hint="cs"/>
          <w:szCs w:val="24"/>
          <w:rtl/>
          <w:lang w:bidi="he-IL"/>
        </w:rPr>
        <w:t>אנא פנו</w:t>
      </w:r>
      <w:r w:rsidR="00B05E01" w:rsidRPr="00B05E01">
        <w:rPr>
          <w:rFonts w:ascii="Arial" w:hAnsi="Arial" w:cs="David" w:hint="cs"/>
          <w:szCs w:val="24"/>
          <w:rtl/>
          <w:lang w:bidi="he-IL"/>
        </w:rPr>
        <w:t xml:space="preserve"> ל</w:t>
      </w:r>
      <w:r w:rsidR="00F63EF3" w:rsidRPr="00B05E01">
        <w:rPr>
          <w:rFonts w:ascii="Arial" w:hAnsi="Arial" w:cs="David" w:hint="cs"/>
          <w:szCs w:val="24"/>
          <w:rtl/>
          <w:lang w:bidi="he-IL"/>
        </w:rPr>
        <w:t>עורכת הרא</w:t>
      </w:r>
      <w:r>
        <w:rPr>
          <w:rFonts w:ascii="Arial" w:hAnsi="Arial" w:cs="David" w:hint="cs"/>
          <w:szCs w:val="24"/>
          <w:rtl/>
          <w:lang w:bidi="he-IL"/>
        </w:rPr>
        <w:t xml:space="preserve">שית של </w:t>
      </w:r>
      <w:r>
        <w:rPr>
          <w:rFonts w:ascii="Arial" w:hAnsi="Arial" w:cs="David" w:hint="cs"/>
          <w:szCs w:val="24"/>
          <w:rtl/>
        </w:rPr>
        <w:t>"</w:t>
      </w:r>
      <w:r>
        <w:rPr>
          <w:rFonts w:ascii="Arial" w:hAnsi="Arial" w:cs="David" w:hint="cs"/>
          <w:szCs w:val="24"/>
          <w:rtl/>
          <w:lang w:bidi="he-IL"/>
        </w:rPr>
        <w:t>חוקים</w:t>
      </w:r>
      <w:r>
        <w:rPr>
          <w:rFonts w:ascii="Arial" w:hAnsi="Arial" w:cs="David" w:hint="cs"/>
          <w:szCs w:val="24"/>
          <w:rtl/>
        </w:rPr>
        <w:t xml:space="preserve">", </w:t>
      </w:r>
      <w:r>
        <w:rPr>
          <w:rFonts w:ascii="Arial" w:hAnsi="Arial" w:cs="David" w:hint="cs"/>
          <w:szCs w:val="24"/>
          <w:rtl/>
          <w:lang w:bidi="he-IL"/>
        </w:rPr>
        <w:t>שחר אברהם</w:t>
      </w:r>
      <w:r>
        <w:rPr>
          <w:rFonts w:ascii="Arial" w:hAnsi="Arial" w:cs="David" w:hint="cs"/>
          <w:szCs w:val="24"/>
          <w:rtl/>
        </w:rPr>
        <w:t>-</w:t>
      </w:r>
      <w:proofErr w:type="spellStart"/>
      <w:r>
        <w:rPr>
          <w:rFonts w:ascii="Arial" w:hAnsi="Arial" w:cs="David" w:hint="cs"/>
          <w:szCs w:val="24"/>
          <w:rtl/>
          <w:lang w:bidi="he-IL"/>
        </w:rPr>
        <w:t>גילר</w:t>
      </w:r>
      <w:proofErr w:type="spellEnd"/>
      <w:r>
        <w:rPr>
          <w:rFonts w:ascii="Arial" w:hAnsi="Arial" w:cs="David" w:hint="cs"/>
          <w:szCs w:val="24"/>
          <w:rtl/>
        </w:rPr>
        <w:t xml:space="preserve">, </w:t>
      </w:r>
      <w:r w:rsidR="00F63EF3" w:rsidRPr="00B05E01">
        <w:rPr>
          <w:rFonts w:ascii="Arial" w:hAnsi="Arial" w:cs="David" w:hint="cs"/>
          <w:szCs w:val="24"/>
          <w:rtl/>
          <w:lang w:bidi="he-IL"/>
        </w:rPr>
        <w:t>בכתובת</w:t>
      </w:r>
      <w:r w:rsidR="0098102B" w:rsidRPr="00C115EB">
        <w:rPr>
          <w:rStyle w:val="Hyperlink"/>
          <w:rFonts w:ascii="David" w:hAnsi="David" w:hint="cs"/>
          <w:rtl/>
          <w:lang w:val="en-US"/>
        </w:rPr>
        <w:t xml:space="preserve"> </w:t>
      </w:r>
      <w:hyperlink r:id="rId8" w:history="1">
        <w:r w:rsidR="00A56607" w:rsidRPr="00C115EB">
          <w:rPr>
            <w:rStyle w:val="Hyperlink"/>
            <w:rFonts w:ascii="David" w:hAnsi="David" w:cs="David"/>
            <w:szCs w:val="24"/>
            <w:lang w:val="en-US" w:bidi="he-IL"/>
          </w:rPr>
          <w:t>shahar.avrahamgil@mail.huji.ac.il</w:t>
        </w:r>
      </w:hyperlink>
      <w:r>
        <w:rPr>
          <w:rFonts w:ascii="David" w:hAnsi="David" w:cs="David" w:hint="cs"/>
          <w:szCs w:val="24"/>
          <w:rtl/>
          <w:lang w:val="en-US" w:bidi="he-IL"/>
        </w:rPr>
        <w:t xml:space="preserve">, או לראש מכון סאקר, פרופ׳ גיא דוידוב, </w:t>
      </w:r>
      <w:hyperlink r:id="rId9" w:history="1">
        <w:r w:rsidRPr="009B299D">
          <w:rPr>
            <w:rStyle w:val="Hyperlink"/>
            <w:rFonts w:ascii="David" w:hAnsi="David" w:cs="David"/>
            <w:szCs w:val="24"/>
            <w:lang w:val="en-US" w:bidi="he-IL"/>
          </w:rPr>
          <w:t>guy.davidov@huji.ac.il</w:t>
        </w:r>
      </w:hyperlink>
      <w:r>
        <w:rPr>
          <w:rFonts w:ascii="David" w:hAnsi="David" w:cs="David" w:hint="cs"/>
          <w:szCs w:val="24"/>
          <w:rtl/>
          <w:lang w:val="en-US" w:bidi="he-IL"/>
        </w:rPr>
        <w:t xml:space="preserve">. </w:t>
      </w:r>
      <w:bookmarkStart w:id="0" w:name="_GoBack"/>
      <w:bookmarkEnd w:id="0"/>
    </w:p>
    <w:sectPr w:rsidR="00A440C8" w:rsidRPr="00C77AF5" w:rsidSect="00BE6FA1">
      <w:headerReference w:type="default" r:id="rId10"/>
      <w:footerReference w:type="default" r:id="rId11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B63B" w14:textId="77777777" w:rsidR="009401CA" w:rsidRDefault="009401CA" w:rsidP="00BE6FA1">
      <w:pPr>
        <w:rPr>
          <w:rFonts w:cs="חרמון"/>
          <w:szCs w:val="24"/>
          <w:rtl/>
          <w:lang w:bidi="he-IL"/>
        </w:rPr>
      </w:pPr>
      <w:r>
        <w:separator/>
      </w:r>
    </w:p>
  </w:endnote>
  <w:endnote w:type="continuationSeparator" w:id="0">
    <w:p w14:paraId="5A26B7E6" w14:textId="77777777" w:rsidR="009401CA" w:rsidRDefault="009401CA" w:rsidP="00BE6FA1">
      <w:pPr>
        <w:rPr>
          <w:rFonts w:cs="חרמון"/>
          <w:szCs w:val="24"/>
          <w:rtl/>
          <w:lang w:bidi="he-I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641A" w14:textId="3B4C0135" w:rsidR="00484563" w:rsidRDefault="00484563" w:rsidP="00A440C8">
    <w:pPr>
      <w:pStyle w:val="a5"/>
      <w:bidi/>
      <w:spacing w:line="276" w:lineRule="auto"/>
      <w:ind w:left="1132"/>
      <w:jc w:val="center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למשפטים   </w:t>
    </w:r>
    <w:r w:rsidRPr="00237721">
      <w:rPr>
        <w:rFonts w:ascii="Arial" w:hAnsi="Arial" w:cs="Arial" w:hint="cs"/>
        <w:sz w:val="20"/>
        <w:rtl/>
        <w:lang w:bidi="he-IL"/>
      </w:rPr>
      <w:t>|</w:t>
    </w:r>
    <w:r>
      <w:rPr>
        <w:rFonts w:ascii="Arial" w:hAnsi="Arial" w:cs="Arial" w:hint="cs"/>
        <w:b/>
        <w:sz w:val="20"/>
        <w:rtl/>
        <w:lang w:bidi="he-IL"/>
      </w:rPr>
      <w:t xml:space="preserve"> </w:t>
    </w:r>
    <w:r>
      <w:rPr>
        <w:rFonts w:ascii="Arial" w:hAnsi="Arial" w:cs="Arial" w:hint="cs"/>
        <w:sz w:val="20"/>
        <w:rtl/>
        <w:lang w:bidi="he-IL"/>
      </w:rPr>
      <w:t xml:space="preserve"> </w:t>
    </w:r>
    <w:proofErr w:type="spellStart"/>
    <w:r>
      <w:rPr>
        <w:rFonts w:ascii="Arial" w:hAnsi="Arial" w:cs="Arial"/>
        <w:b/>
        <w:bCs/>
        <w:sz w:val="20"/>
        <w:rtl/>
        <w:lang w:bidi="he-IL"/>
      </w:rPr>
      <w:t>Faculty</w:t>
    </w:r>
    <w:proofErr w:type="spellEnd"/>
    <w:r>
      <w:rPr>
        <w:rFonts w:ascii="Arial" w:hAnsi="Arial" w:cs="Arial"/>
        <w:b/>
        <w:bCs/>
        <w:sz w:val="20"/>
        <w:rtl/>
        <w:lang w:bidi="he-IL"/>
      </w:rPr>
      <w:t xml:space="preserve"> of Law </w:t>
    </w:r>
  </w:p>
  <w:p w14:paraId="69DC0A24" w14:textId="77777777" w:rsidR="00484563" w:rsidRPr="00237721" w:rsidRDefault="00484563" w:rsidP="00A440C8">
    <w:pPr>
      <w:pStyle w:val="a5"/>
      <w:bidi/>
      <w:spacing w:line="276" w:lineRule="auto"/>
      <w:ind w:left="1132"/>
      <w:jc w:val="center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Pr="00237721">
      <w:rPr>
        <w:rFonts w:ascii="Arial" w:hAnsi="Arial" w:cs="Arial" w:hint="cs"/>
        <w:sz w:val="20"/>
        <w:rtl/>
        <w:lang w:bidi="he-IL"/>
      </w:rPr>
      <w:t xml:space="preserve"> </w:t>
    </w:r>
    <w:r w:rsidRPr="00A345EE">
      <w:rPr>
        <w:rFonts w:ascii="Arial" w:hAnsi="Arial" w:cs="Arial"/>
        <w:sz w:val="20"/>
        <w:rtl/>
        <w:lang w:bidi="he-IL"/>
      </w:rPr>
      <w:t>הצופים</w:t>
    </w:r>
    <w:r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 91905</w:t>
    </w:r>
    <w:r>
      <w:rPr>
        <w:rFonts w:ascii="Arial" w:hAnsi="Arial" w:cs="Arial"/>
        <w:sz w:val="20"/>
        <w:rtl/>
        <w:lang w:bidi="he-IL"/>
      </w:rPr>
      <w:t>01</w:t>
    </w:r>
    <w:r w:rsidRPr="00237721">
      <w:rPr>
        <w:rFonts w:ascii="Arial" w:hAnsi="Arial" w:cs="Arial"/>
        <w:sz w:val="20"/>
        <w:rtl/>
        <w:lang w:bidi="he-IL"/>
      </w:rPr>
      <w:t xml:space="preserve"> </w:t>
    </w:r>
    <w:r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 w:hint="cs"/>
        <w:sz w:val="20"/>
        <w:rtl/>
        <w:lang w:bidi="he-IL"/>
      </w:rPr>
      <w:t>|</w:t>
    </w:r>
    <w:r>
      <w:rPr>
        <w:rFonts w:ascii="Arial" w:hAnsi="Arial" w:cs="Arial" w:hint="cs"/>
        <w:sz w:val="20"/>
        <w:rtl/>
        <w:lang w:bidi="he-IL"/>
      </w:rPr>
      <w:t xml:space="preserve">  </w:t>
    </w:r>
    <w:proofErr w:type="spellStart"/>
    <w:r>
      <w:rPr>
        <w:rFonts w:ascii="Arial" w:hAnsi="Arial" w:cs="Arial"/>
        <w:sz w:val="20"/>
        <w:rtl/>
        <w:lang w:bidi="he-IL"/>
      </w:rPr>
      <w:t>Mt</w:t>
    </w:r>
    <w:proofErr w:type="spellEnd"/>
    <w:r>
      <w:rPr>
        <w:rFonts w:ascii="Arial" w:hAnsi="Arial" w:cs="Arial"/>
        <w:sz w:val="20"/>
        <w:rtl/>
        <w:lang w:bidi="he-IL"/>
      </w:rPr>
      <w:t xml:space="preserve">. </w:t>
    </w:r>
    <w:proofErr w:type="spellStart"/>
    <w:r>
      <w:rPr>
        <w:rFonts w:ascii="Arial" w:hAnsi="Arial" w:cs="Arial"/>
        <w:sz w:val="20"/>
        <w:rtl/>
        <w:lang w:bidi="he-IL"/>
      </w:rPr>
      <w:t>Scopus</w:t>
    </w:r>
    <w:proofErr w:type="spellEnd"/>
    <w:r>
      <w:rPr>
        <w:rFonts w:ascii="Arial" w:hAnsi="Arial" w:cs="Arial"/>
        <w:sz w:val="20"/>
        <w:rtl/>
        <w:lang w:bidi="he-IL"/>
      </w:rPr>
      <w:t xml:space="preserve">, </w:t>
    </w:r>
    <w:proofErr w:type="spellStart"/>
    <w:r>
      <w:rPr>
        <w:rFonts w:ascii="Arial" w:hAnsi="Arial" w:cs="Arial"/>
        <w:sz w:val="20"/>
        <w:rtl/>
        <w:lang w:bidi="he-IL"/>
      </w:rPr>
      <w:t>Jerusalem</w:t>
    </w:r>
    <w:proofErr w:type="spellEnd"/>
    <w:r>
      <w:rPr>
        <w:rFonts w:ascii="Arial" w:hAnsi="Arial" w:cs="Arial"/>
        <w:sz w:val="20"/>
        <w:rtl/>
        <w:lang w:bidi="he-IL"/>
      </w:rPr>
      <w:t xml:space="preserve"> 9190501, Israel</w:t>
    </w:r>
  </w:p>
  <w:p w14:paraId="397DF8F8" w14:textId="6ADC6AD4" w:rsidR="00484563" w:rsidRDefault="00484563" w:rsidP="00A440C8">
    <w:pPr>
      <w:pStyle w:val="a5"/>
      <w:bidi/>
      <w:spacing w:line="276" w:lineRule="auto"/>
      <w:ind w:left="1132"/>
      <w:jc w:val="center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</w:t>
    </w:r>
    <w:r>
      <w:rPr>
        <w:rFonts w:ascii="Arial" w:hAnsi="Arial" w:cs="Arial" w:hint="cs"/>
        <w:sz w:val="20"/>
        <w:rtl/>
        <w:lang w:bidi="he-IL"/>
      </w:rPr>
      <w:t xml:space="preserve"> 972.2.</w:t>
    </w:r>
    <w:r w:rsidRPr="00237721">
      <w:rPr>
        <w:rFonts w:ascii="Arial" w:hAnsi="Arial" w:cs="Arial" w:hint="cs"/>
        <w:sz w:val="20"/>
        <w:rtl/>
        <w:lang w:bidi="he-IL"/>
      </w:rPr>
      <w:t>588</w:t>
    </w:r>
    <w:r>
      <w:rPr>
        <w:rFonts w:ascii="Arial" w:hAnsi="Arial" w:cs="Arial" w:hint="cs"/>
        <w:sz w:val="20"/>
        <w:rtl/>
        <w:lang w:bidi="he-IL"/>
      </w:rPr>
      <w:t>1572+</w:t>
    </w:r>
    <w:r>
      <w:rPr>
        <w:rFonts w:ascii="Arial" w:hAnsi="Arial" w:cs="Arial"/>
        <w:sz w:val="20"/>
        <w:rtl/>
        <w:lang w:bidi="he-IL"/>
      </w:rPr>
      <w:t xml:space="preserve"> T </w:t>
    </w:r>
    <w:r w:rsidRPr="00237721">
      <w:rPr>
        <w:rFonts w:ascii="Arial" w:hAnsi="Arial" w:cs="Arial" w:hint="cs"/>
        <w:sz w:val="20"/>
        <w:rtl/>
        <w:lang w:bidi="he-IL"/>
      </w:rPr>
      <w:t xml:space="preserve">| פקס: </w:t>
    </w:r>
    <w:r>
      <w:rPr>
        <w:rFonts w:ascii="Arial" w:hAnsi="Arial" w:cs="Arial" w:hint="cs"/>
        <w:sz w:val="20"/>
        <w:rtl/>
        <w:lang w:bidi="he-IL"/>
      </w:rPr>
      <w:t>972.2.5882565+</w:t>
    </w:r>
    <w:r>
      <w:rPr>
        <w:rFonts w:ascii="Arial" w:hAnsi="Arial" w:cs="Arial"/>
        <w:sz w:val="20"/>
        <w:rtl/>
        <w:lang w:bidi="he-IL"/>
      </w:rPr>
      <w:t xml:space="preserve">F </w:t>
    </w:r>
    <w:r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 w:hint="cs"/>
        <w:sz w:val="20"/>
        <w:rtl/>
        <w:lang w:bidi="he-IL"/>
      </w:rPr>
      <w:t xml:space="preserve">| </w:t>
    </w:r>
    <w:r>
      <w:rPr>
        <w:rFonts w:ascii="Arial" w:hAnsi="Arial" w:cs="Arial"/>
        <w:sz w:val="20"/>
        <w:rtl/>
        <w:lang w:bidi="he-IL"/>
      </w:rPr>
      <w:t>sacher@savion.huji.ac.il</w:t>
    </w:r>
  </w:p>
  <w:p w14:paraId="30C51F88" w14:textId="77777777" w:rsidR="00484563" w:rsidRPr="00C53AE1" w:rsidRDefault="00484563" w:rsidP="00C53AE1">
    <w:pPr>
      <w:pStyle w:val="a5"/>
      <w:bidi/>
      <w:spacing w:line="276" w:lineRule="auto"/>
      <w:ind w:left="1132"/>
      <w:jc w:val="center"/>
      <w:rPr>
        <w:rFonts w:ascii="Arial" w:hAnsi="Arial" w:cs="Arial"/>
        <w:sz w:val="20"/>
        <w:rtl/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7EB50" w14:textId="77777777" w:rsidR="009401CA" w:rsidRDefault="009401CA" w:rsidP="00BE6FA1">
      <w:pPr>
        <w:rPr>
          <w:rFonts w:cs="חרמון"/>
          <w:szCs w:val="24"/>
          <w:rtl/>
          <w:lang w:bidi="he-IL"/>
        </w:rPr>
      </w:pPr>
      <w:r>
        <w:separator/>
      </w:r>
    </w:p>
  </w:footnote>
  <w:footnote w:type="continuationSeparator" w:id="0">
    <w:p w14:paraId="21B53678" w14:textId="77777777" w:rsidR="009401CA" w:rsidRDefault="009401CA" w:rsidP="00BE6FA1">
      <w:pPr>
        <w:rPr>
          <w:rFonts w:cs="חרמון"/>
          <w:szCs w:val="24"/>
          <w:rtl/>
          <w:lang w:bidi="he-I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E8DF" w14:textId="77777777" w:rsidR="00484563" w:rsidRPr="00AC6C62" w:rsidRDefault="00484563" w:rsidP="00BE6FA1">
    <w:pPr>
      <w:pStyle w:val="a3"/>
      <w:jc w:val="right"/>
      <w:rPr>
        <w:rFonts w:cs="חרמון"/>
        <w:sz w:val="20"/>
        <w:rtl/>
        <w:lang w:bidi="he-IL"/>
      </w:rPr>
    </w:pPr>
    <w:r w:rsidRPr="00AC6C62">
      <w:rPr>
        <w:noProof/>
        <w:sz w:val="20"/>
        <w:lang w:val="en-US" w:bidi="he-IL"/>
      </w:rPr>
      <w:drawing>
        <wp:inline distT="0" distB="0" distL="0" distR="0" wp14:anchorId="20258901" wp14:editId="7A41253B">
          <wp:extent cx="6119495" cy="916162"/>
          <wp:effectExtent l="0" t="0" r="0" b="0"/>
          <wp:docPr id="2" name="Picture 2" descr="K:\My Docs BackedUp\לוגו\LAW LOGO1\LAW LOGO\logos side by side\sideBySid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y Docs BackedUp\לוגו\LAW LOGO1\LAW LOGO\logos side by side\sideBySid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1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52B2"/>
    <w:multiLevelType w:val="hybridMultilevel"/>
    <w:tmpl w:val="AC0A72F2"/>
    <w:lvl w:ilvl="0" w:tplc="77D22646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0618CB"/>
    <w:rsid w:val="00086D87"/>
    <w:rsid w:val="001C6A14"/>
    <w:rsid w:val="001E42E2"/>
    <w:rsid w:val="00237721"/>
    <w:rsid w:val="002C228C"/>
    <w:rsid w:val="003268CB"/>
    <w:rsid w:val="00396915"/>
    <w:rsid w:val="00484563"/>
    <w:rsid w:val="004C4524"/>
    <w:rsid w:val="004C7335"/>
    <w:rsid w:val="005517EC"/>
    <w:rsid w:val="005F3461"/>
    <w:rsid w:val="0069370D"/>
    <w:rsid w:val="006D1200"/>
    <w:rsid w:val="00762B27"/>
    <w:rsid w:val="007A5C7C"/>
    <w:rsid w:val="007F131F"/>
    <w:rsid w:val="009401CA"/>
    <w:rsid w:val="0098102B"/>
    <w:rsid w:val="0099636B"/>
    <w:rsid w:val="00A076E1"/>
    <w:rsid w:val="00A345EE"/>
    <w:rsid w:val="00A440C8"/>
    <w:rsid w:val="00A56607"/>
    <w:rsid w:val="00A92B95"/>
    <w:rsid w:val="00AA278F"/>
    <w:rsid w:val="00AC5D7B"/>
    <w:rsid w:val="00AC6C62"/>
    <w:rsid w:val="00AF5FB8"/>
    <w:rsid w:val="00B05E01"/>
    <w:rsid w:val="00B83558"/>
    <w:rsid w:val="00BE6FA1"/>
    <w:rsid w:val="00C115EB"/>
    <w:rsid w:val="00C20AB1"/>
    <w:rsid w:val="00C53AE1"/>
    <w:rsid w:val="00C77AF5"/>
    <w:rsid w:val="00CD348B"/>
    <w:rsid w:val="00CF774F"/>
    <w:rsid w:val="00D76A23"/>
    <w:rsid w:val="00DA5ECA"/>
    <w:rsid w:val="00E337DB"/>
    <w:rsid w:val="00F479AF"/>
    <w:rsid w:val="00F63EF3"/>
    <w:rsid w:val="00FC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D3FA00"/>
  <w15:docId w15:val="{610E0785-2EFD-444F-81B7-C2965101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val="he-I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C53A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7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r.avrahamgil@mail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y.davidov@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9FCCB-67F7-4DC1-8F84-755B4960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Revital Bahat</cp:lastModifiedBy>
  <cp:revision>3</cp:revision>
  <dcterms:created xsi:type="dcterms:W3CDTF">2017-01-02T06:55:00Z</dcterms:created>
  <dcterms:modified xsi:type="dcterms:W3CDTF">2017-01-02T06:56:00Z</dcterms:modified>
</cp:coreProperties>
</file>